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A3" w:rsidRPr="00EE211D" w:rsidRDefault="00EE211D" w:rsidP="00A546A3">
      <w:pPr>
        <w:rPr>
          <w:rFonts w:cs="Calibri"/>
          <w:b/>
          <w:bCs/>
          <w:szCs w:val="22"/>
        </w:rPr>
      </w:pPr>
      <w:r w:rsidRPr="00EE211D">
        <w:rPr>
          <w:rFonts w:cs="Calibri"/>
          <w:b/>
          <w:bCs/>
          <w:szCs w:val="22"/>
        </w:rPr>
        <w:t>Suggested post copy</w:t>
      </w:r>
    </w:p>
    <w:p w:rsidR="00EE211D" w:rsidRDefault="00EE211D" w:rsidP="00A546A3">
      <w:pPr>
        <w:rPr>
          <w:rFonts w:cs="Calibri"/>
          <w:szCs w:val="22"/>
        </w:rPr>
      </w:pPr>
    </w:p>
    <w:p w:rsidR="00EE211D" w:rsidRPr="00A546A3" w:rsidRDefault="000B457A" w:rsidP="00A546A3">
      <w:pPr>
        <w:rPr>
          <w:rFonts w:cs="Calibri"/>
          <w:szCs w:val="22"/>
        </w:rPr>
      </w:pPr>
      <w:r>
        <w:rPr>
          <w:rFonts w:cs="Calibri"/>
          <w:szCs w:val="22"/>
        </w:rPr>
        <w:t>Been thinking of making the switch to a power toothbrush? You can try #</w:t>
      </w:r>
      <w:proofErr w:type="spellStart"/>
      <w:r>
        <w:rPr>
          <w:rFonts w:cs="Calibri"/>
          <w:szCs w:val="22"/>
        </w:rPr>
        <w:t>PhilipsSonicare</w:t>
      </w:r>
      <w:proofErr w:type="spellEnd"/>
      <w:r>
        <w:rPr>
          <w:rFonts w:cs="Calibri"/>
          <w:szCs w:val="22"/>
        </w:rPr>
        <w:t xml:space="preserve"> at your next checkup, no purchase required! It’s the perfect first step to a lifetime of great oral health.</w:t>
      </w:r>
      <w:bookmarkStart w:id="0" w:name="_GoBack"/>
      <w:bookmarkEnd w:id="0"/>
    </w:p>
    <w:p w:rsidR="00F31B33" w:rsidRPr="00A546A3" w:rsidRDefault="00F31B33" w:rsidP="00A546A3">
      <w:pPr>
        <w:rPr>
          <w:rFonts w:cs="Calibri"/>
          <w:szCs w:val="22"/>
        </w:rPr>
      </w:pP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F52" w:rsidRDefault="00EC0F52">
      <w:r>
        <w:separator/>
      </w:r>
    </w:p>
  </w:endnote>
  <w:endnote w:type="continuationSeparator" w:id="0">
    <w:p w:rsidR="00EC0F52" w:rsidRDefault="00EC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:rsidTr="00A546A3">
      <w:trPr>
        <w:cantSplit/>
        <w:trHeight w:val="397"/>
      </w:trPr>
      <w:tc>
        <w:tcPr>
          <w:tcW w:w="8731" w:type="dxa"/>
        </w:tcPr>
        <w:p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MLTableFooter"/>
        </w:p>
      </w:tc>
    </w:tr>
    <w:tr w:rsidR="00F31B33" w:rsidTr="00A546A3">
      <w:trPr>
        <w:cantSplit/>
        <w:trHeight w:hRule="exact" w:val="851"/>
      </w:trPr>
      <w:tc>
        <w:tcPr>
          <w:tcW w:w="8731" w:type="dxa"/>
          <w:vAlign w:val="bottom"/>
        </w:tcPr>
        <w:p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10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3D7FFF58" wp14:editId="72739786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10"/>
        </w:p>
      </w:tc>
    </w:tr>
    <w:tr w:rsidR="00F31B33" w:rsidTr="00A546A3">
      <w:trPr>
        <w:cantSplit/>
        <w:trHeight w:hRule="exact" w:val="425"/>
      </w:trPr>
      <w:tc>
        <w:tcPr>
          <w:tcW w:w="8731" w:type="dxa"/>
          <w:vAlign w:val="bottom"/>
        </w:tcPr>
        <w:p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:rsidTr="001E59D2">
      <w:trPr>
        <w:cantSplit/>
        <w:trHeight w:val="594"/>
      </w:trPr>
      <w:tc>
        <w:tcPr>
          <w:tcW w:w="8731" w:type="dxa"/>
        </w:tcPr>
        <w:p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1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1"/>
    <w:tr w:rsidR="005870F4" w:rsidRPr="0053637B" w:rsidTr="00A546A3">
      <w:trPr>
        <w:cantSplit/>
        <w:trHeight w:val="454"/>
      </w:trPr>
      <w:tc>
        <w:tcPr>
          <w:tcW w:w="8731" w:type="dxa"/>
        </w:tcPr>
        <w:p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9"/>
  </w:tbl>
  <w:p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:rsidR="005D0415" w:rsidRDefault="005D0415">
    <w:pPr>
      <w:spacing w:line="240" w:lineRule="exact"/>
      <w:rPr>
        <w:sz w:val="2"/>
        <w:lang w:val="en-GB"/>
      </w:rPr>
    </w:pPr>
  </w:p>
  <w:p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F52" w:rsidRDefault="00EC0F52">
      <w:r>
        <w:separator/>
      </w:r>
    </w:p>
  </w:footnote>
  <w:footnote w:type="continuationSeparator" w:id="0">
    <w:p w:rsidR="00EC0F52" w:rsidRDefault="00EC0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332" w:lineRule="exact"/>
      <w:rPr>
        <w:noProof/>
      </w:rPr>
    </w:pPr>
  </w:p>
  <w:p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:rsidR="00F31B33" w:rsidRDefault="005870F4" w:rsidP="00F31B33">
    <w:pPr>
      <w:framePr w:w="2778" w:h="771" w:wrap="around" w:vAnchor="page" w:hAnchor="page" w:x="1776" w:y="1129" w:anchorLock="1"/>
    </w:pPr>
    <w:bookmarkStart w:id="1" w:name="LgoWordmarkPage2"/>
    <w:r>
      <w:rPr>
        <w:rFonts w:cs="Calibri"/>
        <w:noProof/>
        <w:lang w:val="nl-NL" w:eastAsia="nl-NL"/>
      </w:rPr>
      <w:drawing>
        <wp:inline distT="0" distB="0" distL="0" distR="0" wp14:anchorId="65F23A15" wp14:editId="18AB1F08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1"/>
    <w:r w:rsidR="00F31B33">
      <w:t xml:space="preserve"> </w:t>
    </w: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>
      <w:trPr>
        <w:cantSplit/>
      </w:trPr>
      <w:tc>
        <w:tcPr>
          <w:tcW w:w="4756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:rsidR="004D259E" w:rsidRDefault="005870F4">
          <w:pPr>
            <w:rPr>
              <w:sz w:val="16"/>
              <w:szCs w:val="16"/>
              <w:lang w:val="en-GB"/>
            </w:rPr>
          </w:pPr>
          <w:bookmarkStart w:id="2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2"/>
        </w:p>
        <w:p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3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3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240" w:lineRule="exact"/>
      <w:rPr>
        <w:noProof/>
      </w:rPr>
    </w:pPr>
    <w:bookmarkStart w:id="4" w:name="LgoWordmarkRef"/>
  </w:p>
  <w:p w:rsidR="005D0415" w:rsidRDefault="005D0415">
    <w:pPr>
      <w:spacing w:line="240" w:lineRule="exact"/>
      <w:rPr>
        <w:lang w:val="en-GB"/>
      </w:rPr>
    </w:pPr>
    <w:bookmarkStart w:id="5" w:name="Dashes"/>
    <w:bookmarkEnd w:id="4"/>
  </w:p>
  <w:p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6" w:name="Falz1"/>
    <w:r>
      <w:rPr>
        <w:lang w:val="en-GB"/>
      </w:rPr>
      <w:t>_</w:t>
    </w:r>
  </w:p>
  <w:p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7" w:name="Falz2"/>
    <w:bookmarkEnd w:id="6"/>
    <w:r>
      <w:rPr>
        <w:lang w:val="en-GB"/>
      </w:rPr>
      <w:t>_</w:t>
    </w:r>
  </w:p>
  <w:bookmarkEnd w:id="5"/>
  <w:bookmarkEnd w:id="7"/>
  <w:p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62A5AF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A9C3C4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8" w:name="LgoWordmark"/>
    <w:r>
      <w:rPr>
        <w:rFonts w:cs="Calibri"/>
        <w:noProof/>
        <w:lang w:val="nl-NL" w:eastAsia="nl-NL"/>
      </w:rPr>
      <w:drawing>
        <wp:inline distT="0" distB="0" distL="0" distR="0" wp14:anchorId="65FBC996" wp14:editId="07717F7A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8"/>
    <w:r w:rsidR="00D426B5">
      <w:rPr>
        <w:noProof/>
        <w:lang w:val="en-GB"/>
      </w:rPr>
      <w:t xml:space="preserve"> </w: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B457A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E388F"/>
    <w:rsid w:val="001E4783"/>
    <w:rsid w:val="00201E96"/>
    <w:rsid w:val="00205E8C"/>
    <w:rsid w:val="00242321"/>
    <w:rsid w:val="00253FA1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2ADC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9D3"/>
    <w:rsid w:val="00B53E33"/>
    <w:rsid w:val="00B63A04"/>
    <w:rsid w:val="00B76602"/>
    <w:rsid w:val="00B76955"/>
    <w:rsid w:val="00BA71D4"/>
    <w:rsid w:val="00C42352"/>
    <w:rsid w:val="00C472F9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0F52"/>
    <w:rsid w:val="00EC3AD8"/>
    <w:rsid w:val="00EE211D"/>
    <w:rsid w:val="00EF607F"/>
    <w:rsid w:val="00F027C4"/>
    <w:rsid w:val="00F25A67"/>
    <w:rsid w:val="00F31B33"/>
    <w:rsid w:val="00F37514"/>
    <w:rsid w:val="00F72B37"/>
    <w:rsid w:val="00F77C4A"/>
    <w:rsid w:val="00FA0871"/>
    <w:rsid w:val="00FA14EC"/>
    <w:rsid w:val="00FB326A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9AF6B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F63302F7FB441B88B126D3F42200A" ma:contentTypeVersion="10" ma:contentTypeDescription="Create a new document." ma:contentTypeScope="" ma:versionID="dcb6d77d620d6ff4fc17e8a1adc4a6d0">
  <xsd:schema xmlns:xsd="http://www.w3.org/2001/XMLSchema" xmlns:xs="http://www.w3.org/2001/XMLSchema" xmlns:p="http://schemas.microsoft.com/office/2006/metadata/properties" xmlns:ns2="0f4df4ac-a9f8-4fd2-afcb-17fbeb75c9aa" xmlns:ns3="6efcb30c-36b2-4bee-9900-64ddde037fa6" targetNamespace="http://schemas.microsoft.com/office/2006/metadata/properties" ma:root="true" ma:fieldsID="7a9fe8f594c1cfb474891080a5f3da68" ns2:_="" ns3:_="">
    <xsd:import namespace="0f4df4ac-a9f8-4fd2-afcb-17fbeb75c9aa"/>
    <xsd:import namespace="6efcb30c-36b2-4bee-9900-64ddde037f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df4ac-a9f8-4fd2-afcb-17fbeb75c9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cb30c-36b2-4bee-9900-64ddde037f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F94A15-6C95-0648-81F4-EA841EC0C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B4DA0A-FCAF-46D3-B775-9D187A0292BA}"/>
</file>

<file path=customXml/itemProps3.xml><?xml version="1.0" encoding="utf-8"?>
<ds:datastoreItem xmlns:ds="http://schemas.openxmlformats.org/officeDocument/2006/customXml" ds:itemID="{25822581-8F9F-45BB-954F-87D03B1769EE}"/>
</file>

<file path=customXml/itemProps4.xml><?xml version="1.0" encoding="utf-8"?>
<ds:datastoreItem xmlns:ds="http://schemas.openxmlformats.org/officeDocument/2006/customXml" ds:itemID="{373B379E-4B21-4294-A50E-2F653B98697E}"/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subject>Subject:
_x0007_
_x0007_Date: </dc:subject>
  <dc:creator>Charlie Laughtland</dc:creator>
  <cp:lastModifiedBy>Charlie Laughtland</cp:lastModifiedBy>
  <cp:revision>3</cp:revision>
  <cp:lastPrinted>2002-03-12T13:40:00Z</cp:lastPrinted>
  <dcterms:created xsi:type="dcterms:W3CDTF">2020-02-06T00:21:00Z</dcterms:created>
  <dcterms:modified xsi:type="dcterms:W3CDTF">2020-02-06T00:22:00Z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  <property fmtid="{D5CDD505-2E9C-101B-9397-08002B2CF9AE}" pid="12" name="ContentTypeId">
    <vt:lpwstr>0x0101000D8F63302F7FB441B88B126D3F42200A</vt:lpwstr>
  </property>
</Properties>
</file>